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FSC- /PEFC-klagomål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Nedan presenteras fynd av naturvårdsarter och fridlysta arter som gjorts i det avverkningsanmälda området, samt relevanta utdrag ur standarderna för FSC, Chain of Custody, Controlled Wood och PEFC.</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 xml:space="preserve">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 </w:t>
      </w:r>
    </w:p>
    <w:p>
      <w:pPr>
        <w:pStyle w:val="ListBullet"/>
      </w:pPr>
      <w:r>
        <w:rPr>
          <w:b/>
          <w:i/>
        </w:rPr>
        <w:t xml:space="preserve">Kommentar: </w:t>
      </w:r>
      <w:r>
        <w:rPr>
          <w:i/>
        </w:rPr>
        <w:t>I det avverkningsanmälda skogsområdet har naturvårdsarter och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2023-10-08</w:t>
      <w:br/>
      <w:br/>
    </w:r>
    <w:r>
      <w:t>Till: Övriga statliga verk och myndigheter</w:t>
      <w:br/>
    </w:r>
    <w:r>
      <w:t>Kopia: DNV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